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Course Readiness Checklist"/>
        <w:tblDescription w:val="This is a checklist that you may use as a self-check to assess readiness of your online course. Before your course is launched, your entire syllabus and 100% of the course content is expected to be completed. There are three main areas of focus - Syllabus - 100% complete, Course Navigation and Presentation - 100% of course content is complete, Accessibility - Course is fully accessible at this time and employs appropiate strategies and technologies. "/>
      </w:tblPr>
      <w:tblGrid>
        <w:gridCol w:w="12950"/>
      </w:tblGrid>
      <w:tr w:rsidR="008E6784" w14:paraId="53BA9C7A" w14:textId="77777777" w:rsidTr="005E08AB">
        <w:trPr>
          <w:tblHeader/>
        </w:trPr>
        <w:tc>
          <w:tcPr>
            <w:tcW w:w="13176" w:type="dxa"/>
          </w:tcPr>
          <w:p w14:paraId="1E377716" w14:textId="2800773A" w:rsidR="008E6784" w:rsidRPr="00280770" w:rsidRDefault="00BC3AB7" w:rsidP="00280770">
            <w:pPr>
              <w:jc w:val="center"/>
              <w:rPr>
                <w:b/>
              </w:rPr>
            </w:pPr>
            <w:r w:rsidRPr="00280770">
              <w:rPr>
                <w:b/>
              </w:rPr>
              <w:t xml:space="preserve">Course Readiness </w:t>
            </w:r>
            <w:r w:rsidR="00CD4F9A" w:rsidRPr="00280770">
              <w:rPr>
                <w:b/>
              </w:rPr>
              <w:t>Checklist</w:t>
            </w:r>
          </w:p>
          <w:p w14:paraId="1D631089" w14:textId="77777777" w:rsidR="00147838" w:rsidRPr="00CD4F9A" w:rsidRDefault="00147838" w:rsidP="008E6784">
            <w:pPr>
              <w:jc w:val="center"/>
              <w:rPr>
                <w:b/>
                <w:sz w:val="20"/>
                <w:szCs w:val="20"/>
              </w:rPr>
            </w:pPr>
          </w:p>
          <w:p w14:paraId="7C68AF1E" w14:textId="2AD2E8CE" w:rsidR="008E6784" w:rsidRDefault="00147838" w:rsidP="005E08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47838">
              <w:rPr>
                <w:sz w:val="18"/>
                <w:szCs w:val="18"/>
              </w:rPr>
              <w:t xml:space="preserve">You may use this checklist </w:t>
            </w:r>
            <w:r w:rsidR="00D21067" w:rsidRPr="00147838">
              <w:rPr>
                <w:sz w:val="18"/>
                <w:szCs w:val="18"/>
              </w:rPr>
              <w:t xml:space="preserve">as a self-check to assess </w:t>
            </w:r>
            <w:r w:rsidRPr="00147838">
              <w:rPr>
                <w:sz w:val="18"/>
                <w:szCs w:val="18"/>
              </w:rPr>
              <w:t xml:space="preserve">the readiness of your online course. </w:t>
            </w:r>
            <w:r w:rsidR="00F522E2">
              <w:rPr>
                <w:sz w:val="18"/>
                <w:szCs w:val="18"/>
              </w:rPr>
              <w:t>You shou</w:t>
            </w:r>
            <w:r w:rsidR="00BC3AB7">
              <w:rPr>
                <w:sz w:val="18"/>
                <w:szCs w:val="18"/>
              </w:rPr>
              <w:t xml:space="preserve">ld use this checklist to guide </w:t>
            </w:r>
            <w:r w:rsidR="00F522E2">
              <w:rPr>
                <w:sz w:val="18"/>
                <w:szCs w:val="18"/>
              </w:rPr>
              <w:t xml:space="preserve">you as you plan, develop and build your online course. </w:t>
            </w:r>
            <w:r w:rsidR="00D21067" w:rsidRPr="00147838">
              <w:rPr>
                <w:rFonts w:cstheme="minorHAnsi"/>
                <w:sz w:val="18"/>
                <w:szCs w:val="18"/>
              </w:rPr>
              <w:t xml:space="preserve"> </w:t>
            </w:r>
            <w:r w:rsidR="00BC3AB7">
              <w:rPr>
                <w:rFonts w:cstheme="minorHAnsi"/>
                <w:sz w:val="18"/>
                <w:szCs w:val="18"/>
              </w:rPr>
              <w:t xml:space="preserve">Before your </w:t>
            </w:r>
            <w:r w:rsidRPr="00147838">
              <w:rPr>
                <w:rFonts w:cstheme="minorHAnsi"/>
                <w:sz w:val="18"/>
                <w:szCs w:val="18"/>
              </w:rPr>
              <w:t>course is launched, your</w:t>
            </w:r>
            <w:r w:rsidR="008E6784" w:rsidRPr="00147838">
              <w:rPr>
                <w:rFonts w:cstheme="minorHAnsi"/>
                <w:sz w:val="18"/>
                <w:szCs w:val="18"/>
              </w:rPr>
              <w:t xml:space="preserve"> entire syllabus and 100% of the course content is expected to be completed. </w:t>
            </w:r>
            <w:r w:rsidRPr="00147838">
              <w:rPr>
                <w:rFonts w:cstheme="minorHAnsi"/>
                <w:sz w:val="18"/>
                <w:szCs w:val="18"/>
              </w:rPr>
              <w:t xml:space="preserve"> This </w:t>
            </w:r>
            <w:r w:rsidR="008E6784" w:rsidRPr="00147838">
              <w:rPr>
                <w:rFonts w:cstheme="minorHAnsi"/>
                <w:sz w:val="18"/>
                <w:szCs w:val="18"/>
              </w:rPr>
              <w:t>checklist serves as an inventory of imp</w:t>
            </w:r>
            <w:r w:rsidR="00C06D17" w:rsidRPr="00147838">
              <w:rPr>
                <w:rFonts w:cstheme="minorHAnsi"/>
                <w:sz w:val="18"/>
                <w:szCs w:val="18"/>
              </w:rPr>
              <w:t xml:space="preserve">ortant </w:t>
            </w:r>
            <w:r w:rsidRPr="00147838">
              <w:rPr>
                <w:rFonts w:cstheme="minorHAnsi"/>
                <w:sz w:val="18"/>
                <w:szCs w:val="18"/>
              </w:rPr>
              <w:t xml:space="preserve">online course </w:t>
            </w:r>
            <w:r w:rsidR="00C06D17" w:rsidRPr="00147838">
              <w:rPr>
                <w:rFonts w:cstheme="minorHAnsi"/>
                <w:sz w:val="18"/>
                <w:szCs w:val="18"/>
              </w:rPr>
              <w:t>elements</w:t>
            </w:r>
            <w:r w:rsidRPr="00147838">
              <w:rPr>
                <w:rFonts w:cstheme="minorHAnsi"/>
                <w:sz w:val="18"/>
                <w:szCs w:val="18"/>
              </w:rPr>
              <w:t>, which reflect online quality course standards; these standards are research-based and recognized by organizations, such 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hyperlink r:id="rId7" w:history="1">
              <w:r w:rsidRPr="00147838">
                <w:rPr>
                  <w:rFonts w:cstheme="minorHAnsi"/>
                  <w:color w:val="000080"/>
                  <w:sz w:val="18"/>
                  <w:szCs w:val="18"/>
                  <w:u w:val="single"/>
                </w:rPr>
                <w:t>Online Learning Consortium</w:t>
              </w:r>
              <w:r w:rsidRPr="00147838">
                <w:rPr>
                  <w:rFonts w:cstheme="minorHAnsi"/>
                  <w:color w:val="000080"/>
                  <w:sz w:val="18"/>
                  <w:szCs w:val="18"/>
                </w:rPr>
                <w:t xml:space="preserve"> </w:t>
              </w:r>
            </w:hyperlink>
            <w:r w:rsidRPr="00147838">
              <w:rPr>
                <w:rFonts w:cstheme="minorHAnsi"/>
                <w:color w:val="000000"/>
                <w:sz w:val="18"/>
                <w:szCs w:val="18"/>
              </w:rPr>
              <w:t xml:space="preserve">and </w:t>
            </w:r>
            <w:hyperlink r:id="rId8" w:history="1">
              <w:r w:rsidRPr="00147838">
                <w:rPr>
                  <w:rFonts w:cstheme="minorHAnsi"/>
                  <w:color w:val="000080"/>
                  <w:sz w:val="18"/>
                  <w:szCs w:val="18"/>
                  <w:u w:val="single"/>
                </w:rPr>
                <w:t>Quality Matters</w:t>
              </w:r>
              <w:r w:rsidRPr="00147838">
                <w:rPr>
                  <w:rFonts w:cstheme="minorHAnsi"/>
                  <w:color w:val="000000"/>
                  <w:sz w:val="18"/>
                  <w:szCs w:val="18"/>
                </w:rPr>
                <w:t>.</w:t>
              </w:r>
            </w:hyperlink>
          </w:p>
          <w:p w14:paraId="7839F07D" w14:textId="77777777" w:rsidR="005E08AB" w:rsidRPr="00CD4F9A" w:rsidRDefault="005E08AB" w:rsidP="005E08AB">
            <w:pPr>
              <w:rPr>
                <w:sz w:val="18"/>
                <w:szCs w:val="18"/>
              </w:rPr>
            </w:pPr>
          </w:p>
          <w:p w14:paraId="5713019E" w14:textId="77777777" w:rsidR="008E6784" w:rsidRPr="00CD4F9A" w:rsidRDefault="008E6784" w:rsidP="008E6784">
            <w:pPr>
              <w:rPr>
                <w:sz w:val="18"/>
                <w:szCs w:val="18"/>
              </w:rPr>
            </w:pPr>
            <w:r w:rsidRPr="00CD4F9A">
              <w:rPr>
                <w:sz w:val="18"/>
                <w:szCs w:val="18"/>
              </w:rPr>
              <w:t>There are three main areas of focus for the readiness assessment:</w:t>
            </w:r>
          </w:p>
          <w:p w14:paraId="08CB814D" w14:textId="3C3F0C71" w:rsidR="008E6784" w:rsidRPr="00CD4F9A" w:rsidRDefault="00D21067" w:rsidP="008E6784">
            <w:pPr>
              <w:rPr>
                <w:sz w:val="18"/>
                <w:szCs w:val="18"/>
              </w:rPr>
            </w:pPr>
            <w:r w:rsidRPr="00CD4F9A">
              <w:rPr>
                <w:sz w:val="18"/>
                <w:szCs w:val="18"/>
              </w:rPr>
              <w:t>•</w:t>
            </w:r>
            <w:r w:rsidRPr="00CD4F9A">
              <w:rPr>
                <w:sz w:val="18"/>
                <w:szCs w:val="18"/>
              </w:rPr>
              <w:tab/>
              <w:t xml:space="preserve">Syllabus: </w:t>
            </w:r>
            <w:r w:rsidR="008E6784" w:rsidRPr="00CD4F9A">
              <w:rPr>
                <w:sz w:val="18"/>
                <w:szCs w:val="18"/>
              </w:rPr>
              <w:t>100% complete at the time of readiness review</w:t>
            </w:r>
          </w:p>
          <w:p w14:paraId="2E7BB5DB" w14:textId="3BE44D74" w:rsidR="008E6784" w:rsidRPr="00CD4F9A" w:rsidRDefault="008E6784" w:rsidP="008E6784">
            <w:pPr>
              <w:rPr>
                <w:sz w:val="18"/>
                <w:szCs w:val="18"/>
              </w:rPr>
            </w:pPr>
            <w:r w:rsidRPr="00CD4F9A">
              <w:rPr>
                <w:sz w:val="18"/>
                <w:szCs w:val="18"/>
              </w:rPr>
              <w:t>•</w:t>
            </w:r>
            <w:r w:rsidRPr="00CD4F9A">
              <w:rPr>
                <w:sz w:val="18"/>
                <w:szCs w:val="18"/>
              </w:rPr>
              <w:tab/>
              <w:t>Cours</w:t>
            </w:r>
            <w:r w:rsidR="00D21067" w:rsidRPr="00CD4F9A">
              <w:rPr>
                <w:sz w:val="18"/>
                <w:szCs w:val="18"/>
              </w:rPr>
              <w:t xml:space="preserve">e Navigation and Presentation: </w:t>
            </w:r>
            <w:r w:rsidRPr="00CD4F9A">
              <w:rPr>
                <w:sz w:val="18"/>
                <w:szCs w:val="18"/>
              </w:rPr>
              <w:t xml:space="preserve">100% </w:t>
            </w:r>
            <w:r w:rsidR="00554D4F" w:rsidRPr="00CD4F9A">
              <w:rPr>
                <w:sz w:val="18"/>
                <w:szCs w:val="18"/>
              </w:rPr>
              <w:t xml:space="preserve">of course content is complete. </w:t>
            </w:r>
            <w:r w:rsidRPr="00CD4F9A">
              <w:rPr>
                <w:sz w:val="18"/>
                <w:szCs w:val="18"/>
              </w:rPr>
              <w:t>The course structure and tools are completely set up in Blackboard.</w:t>
            </w:r>
          </w:p>
          <w:p w14:paraId="1FA0E4B2" w14:textId="60250EB1" w:rsidR="008E6784" w:rsidRPr="00CD4F9A" w:rsidRDefault="00554D4F" w:rsidP="008E6784">
            <w:pPr>
              <w:rPr>
                <w:sz w:val="18"/>
                <w:szCs w:val="18"/>
              </w:rPr>
            </w:pPr>
            <w:r w:rsidRPr="00CD4F9A">
              <w:rPr>
                <w:sz w:val="18"/>
                <w:szCs w:val="18"/>
              </w:rPr>
              <w:t>•</w:t>
            </w:r>
            <w:r w:rsidRPr="00CD4F9A">
              <w:rPr>
                <w:sz w:val="18"/>
                <w:szCs w:val="18"/>
              </w:rPr>
              <w:tab/>
              <w:t xml:space="preserve">Accessibility: </w:t>
            </w:r>
            <w:r w:rsidR="008E6784" w:rsidRPr="00CD4F9A">
              <w:rPr>
                <w:sz w:val="18"/>
                <w:szCs w:val="18"/>
              </w:rPr>
              <w:t>The course is fully accessible at this time, and employs appropriate strategies and technologies.</w:t>
            </w:r>
          </w:p>
          <w:p w14:paraId="7A724AC4" w14:textId="77777777" w:rsidR="008E6784" w:rsidRPr="00CD4F9A" w:rsidRDefault="008E6784" w:rsidP="008E6784">
            <w:pPr>
              <w:rPr>
                <w:sz w:val="18"/>
                <w:szCs w:val="18"/>
              </w:rPr>
            </w:pPr>
          </w:p>
          <w:p w14:paraId="4C4A26AD" w14:textId="40BEDB74" w:rsidR="008E6784" w:rsidRPr="00CD4F9A" w:rsidRDefault="008E6784" w:rsidP="001478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D4F9A">
              <w:rPr>
                <w:sz w:val="18"/>
                <w:szCs w:val="18"/>
              </w:rPr>
              <w:t>NOTE:</w:t>
            </w:r>
            <w:r w:rsidR="00147838">
              <w:rPr>
                <w:sz w:val="18"/>
                <w:szCs w:val="18"/>
              </w:rPr>
              <w:t>You</w:t>
            </w:r>
            <w:proofErr w:type="spellEnd"/>
            <w:proofErr w:type="gramEnd"/>
            <w:r w:rsidR="00147838">
              <w:rPr>
                <w:sz w:val="18"/>
                <w:szCs w:val="18"/>
              </w:rPr>
              <w:t xml:space="preserve"> have </w:t>
            </w:r>
            <w:r w:rsidRPr="00CD4F9A">
              <w:rPr>
                <w:sz w:val="18"/>
                <w:szCs w:val="18"/>
              </w:rPr>
              <w:t>flexibility to rearrange the course structure and/or information within the</w:t>
            </w:r>
            <w:r w:rsidR="00342C2B">
              <w:rPr>
                <w:sz w:val="18"/>
                <w:szCs w:val="18"/>
              </w:rPr>
              <w:t xml:space="preserve"> syllabus o</w:t>
            </w:r>
            <w:r w:rsidR="00147838">
              <w:rPr>
                <w:sz w:val="18"/>
                <w:szCs w:val="18"/>
              </w:rPr>
              <w:t>r course navigation, as long as the quality standards are demonstrated.</w:t>
            </w:r>
          </w:p>
        </w:tc>
      </w:tr>
    </w:tbl>
    <w:p w14:paraId="4B43B08E" w14:textId="10CD02D7" w:rsidR="004F4559" w:rsidRDefault="00CD4F9A" w:rsidP="00280770">
      <w:pPr>
        <w:pStyle w:val="Heading1"/>
      </w:pPr>
      <w:r>
        <w:br/>
      </w:r>
      <w:r w:rsidR="00F522E2" w:rsidRPr="00280770">
        <w:t xml:space="preserve"> </w:t>
      </w:r>
      <w:r w:rsidR="00280770">
        <w:t>Syllabus</w:t>
      </w:r>
    </w:p>
    <w:p w14:paraId="23F2B65E" w14:textId="77777777" w:rsidR="00280770" w:rsidRPr="00280770" w:rsidRDefault="00280770" w:rsidP="00280770"/>
    <w:p w14:paraId="58011174" w14:textId="1C46E542" w:rsidR="00CD4F9A" w:rsidRDefault="005256AB" w:rsidP="00342C2B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Course </w:t>
      </w:r>
      <w:r w:rsidR="00CD4F9A" w:rsidRPr="00C06D17">
        <w:rPr>
          <w:b/>
          <w:sz w:val="18"/>
          <w:szCs w:val="18"/>
        </w:rPr>
        <w:t>Information</w:t>
      </w:r>
      <w:r w:rsidR="00CD4F9A" w:rsidRPr="00342C2B">
        <w:rPr>
          <w:sz w:val="18"/>
          <w:szCs w:val="18"/>
        </w:rPr>
        <w:t xml:space="preserve"> - Instructor Information (name, contact information -- preferred and alternate), Office Hours (online and/or in person office hours),  course number/section, title, credit hours, Nature of Course Delivery (asynchronous, synchronous, required face-to-face meetings/exams), Blackboard Login Instructions, E-reserve Instructions, if applicable </w:t>
      </w:r>
    </w:p>
    <w:p w14:paraId="2B297112" w14:textId="4A3F789F" w:rsidR="00342C2B" w:rsidRDefault="005256AB" w:rsidP="00342C2B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b/>
          <w:sz w:val="18"/>
          <w:szCs w:val="18"/>
        </w:rPr>
        <w:t>Course Overview</w:t>
      </w:r>
      <w:r w:rsidR="00342C2B">
        <w:rPr>
          <w:sz w:val="18"/>
          <w:szCs w:val="18"/>
        </w:rPr>
        <w:t xml:space="preserve"> - </w:t>
      </w:r>
      <w:r w:rsidR="00342C2B" w:rsidRPr="00342C2B">
        <w:rPr>
          <w:sz w:val="18"/>
          <w:szCs w:val="18"/>
        </w:rPr>
        <w:t>Course Description (About the course/subject, prerequisites, etc.)</w:t>
      </w:r>
      <w:r w:rsidR="00342C2B">
        <w:rPr>
          <w:sz w:val="18"/>
          <w:szCs w:val="18"/>
        </w:rPr>
        <w:t xml:space="preserve">, Required Textbooks, </w:t>
      </w:r>
      <w:r w:rsidR="00342C2B" w:rsidRPr="00342C2B">
        <w:rPr>
          <w:sz w:val="18"/>
          <w:szCs w:val="18"/>
        </w:rPr>
        <w:t>Course Learning Objectives/Outcomes</w:t>
      </w:r>
      <w:r w:rsidR="00342C2B">
        <w:rPr>
          <w:sz w:val="18"/>
          <w:szCs w:val="18"/>
        </w:rPr>
        <w:t xml:space="preserve">, </w:t>
      </w:r>
      <w:r w:rsidR="00342C2B" w:rsidRPr="00342C2B">
        <w:rPr>
          <w:sz w:val="18"/>
          <w:szCs w:val="18"/>
        </w:rPr>
        <w:t>Gen Ed Learning Outcomes OR Program Learning Outcomes, if applicable</w:t>
      </w:r>
      <w:r w:rsidR="00342C2B">
        <w:rPr>
          <w:sz w:val="18"/>
          <w:szCs w:val="18"/>
        </w:rPr>
        <w:t xml:space="preserve">, </w:t>
      </w:r>
      <w:r w:rsidR="00342C2B" w:rsidRPr="00342C2B">
        <w:rPr>
          <w:sz w:val="18"/>
          <w:szCs w:val="18"/>
        </w:rPr>
        <w:t>Technology Requirements</w:t>
      </w:r>
    </w:p>
    <w:p w14:paraId="7F9F5021" w14:textId="69CA05B7" w:rsidR="003E52E2" w:rsidRDefault="003E52E2" w:rsidP="000F183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C06D17">
        <w:rPr>
          <w:b/>
          <w:sz w:val="18"/>
          <w:szCs w:val="18"/>
        </w:rPr>
        <w:t>Course Schedule</w:t>
      </w:r>
      <w:r>
        <w:rPr>
          <w:sz w:val="18"/>
          <w:szCs w:val="18"/>
        </w:rPr>
        <w:t xml:space="preserve"> - </w:t>
      </w:r>
      <w:r w:rsidR="000F183F" w:rsidRPr="000F183F">
        <w:rPr>
          <w:sz w:val="18"/>
          <w:szCs w:val="18"/>
        </w:rPr>
        <w:t>Weekly Course Schedule presented in a tabular format (includes units/modules with start-and-end dates, del</w:t>
      </w:r>
      <w:r w:rsidR="00185AB4">
        <w:rPr>
          <w:sz w:val="18"/>
          <w:szCs w:val="18"/>
        </w:rPr>
        <w:t>ivery mode</w:t>
      </w:r>
      <w:r w:rsidR="000F183F" w:rsidRPr="000F183F">
        <w:rPr>
          <w:sz w:val="18"/>
          <w:szCs w:val="18"/>
        </w:rPr>
        <w:t>, readings, assignments, due dates, point values)</w:t>
      </w:r>
      <w:r w:rsidR="000F183F">
        <w:rPr>
          <w:sz w:val="18"/>
          <w:szCs w:val="18"/>
        </w:rPr>
        <w:t xml:space="preserve">, </w:t>
      </w:r>
      <w:r w:rsidR="000F183F" w:rsidRPr="000F183F">
        <w:rPr>
          <w:sz w:val="18"/>
          <w:szCs w:val="18"/>
        </w:rPr>
        <w:t>Assignment Description (Due dates, requirements/expectations, criteria for grading/rubrics, points and/or percentages)</w:t>
      </w:r>
    </w:p>
    <w:p w14:paraId="5D12646D" w14:textId="253CD913" w:rsidR="00185AB4" w:rsidRDefault="00185AB4" w:rsidP="00185AB4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C06D17">
        <w:rPr>
          <w:b/>
          <w:sz w:val="18"/>
          <w:szCs w:val="18"/>
        </w:rPr>
        <w:t>Assignments and Grading</w:t>
      </w:r>
      <w:r>
        <w:rPr>
          <w:sz w:val="18"/>
          <w:szCs w:val="18"/>
        </w:rPr>
        <w:t xml:space="preserve"> - </w:t>
      </w:r>
      <w:r w:rsidRPr="00185AB4">
        <w:rPr>
          <w:sz w:val="18"/>
          <w:szCs w:val="18"/>
        </w:rPr>
        <w:t>Grading Scale</w:t>
      </w:r>
      <w:r>
        <w:rPr>
          <w:sz w:val="18"/>
          <w:szCs w:val="18"/>
        </w:rPr>
        <w:t xml:space="preserve">, </w:t>
      </w:r>
      <w:r w:rsidRPr="00185AB4">
        <w:rPr>
          <w:sz w:val="18"/>
          <w:szCs w:val="18"/>
        </w:rPr>
        <w:t>Attendance and Participation Requirements (if applicable)</w:t>
      </w:r>
      <w:r>
        <w:rPr>
          <w:sz w:val="18"/>
          <w:szCs w:val="18"/>
        </w:rPr>
        <w:t xml:space="preserve">, </w:t>
      </w:r>
      <w:r w:rsidRPr="00185AB4">
        <w:rPr>
          <w:sz w:val="18"/>
          <w:szCs w:val="18"/>
        </w:rPr>
        <w:t>Course Policies (late work, make-up exams, extra credit, Incompletes, etc.)</w:t>
      </w:r>
    </w:p>
    <w:p w14:paraId="2A60839F" w14:textId="570A79D3" w:rsidR="00DA2B3B" w:rsidRDefault="00DA2B3B" w:rsidP="00DA2B3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C06D17">
        <w:rPr>
          <w:b/>
          <w:sz w:val="18"/>
          <w:szCs w:val="18"/>
        </w:rPr>
        <w:t>Additional Course Resources</w:t>
      </w:r>
      <w:r>
        <w:rPr>
          <w:sz w:val="18"/>
          <w:szCs w:val="18"/>
        </w:rPr>
        <w:t xml:space="preserve"> - </w:t>
      </w:r>
      <w:r w:rsidRPr="00DA2B3B">
        <w:rPr>
          <w:sz w:val="18"/>
          <w:szCs w:val="18"/>
        </w:rPr>
        <w:t>Recommended Course Resources (readings, tutorials, external websites, exhibitions, field trips, multimedia resources, etc.), if applicable</w:t>
      </w:r>
    </w:p>
    <w:p w14:paraId="47F08B16" w14:textId="2397CA5E" w:rsidR="00DA2B3B" w:rsidRPr="005A1A71" w:rsidRDefault="00DA2B3B" w:rsidP="005A1A71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C06D17">
        <w:rPr>
          <w:b/>
          <w:sz w:val="18"/>
          <w:szCs w:val="18"/>
        </w:rPr>
        <w:t>University Requirements</w:t>
      </w:r>
      <w:r>
        <w:rPr>
          <w:sz w:val="18"/>
          <w:szCs w:val="18"/>
        </w:rPr>
        <w:t xml:space="preserve"> </w:t>
      </w:r>
      <w:r w:rsidR="005A1A71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5A1A71">
        <w:rPr>
          <w:sz w:val="18"/>
          <w:szCs w:val="18"/>
        </w:rPr>
        <w:t xml:space="preserve">Link and a brief introduction to </w:t>
      </w:r>
      <w:hyperlink r:id="rId9" w:history="1">
        <w:r w:rsidRPr="00241F07">
          <w:rPr>
            <w:rStyle w:val="Hyperlink"/>
            <w:sz w:val="18"/>
            <w:szCs w:val="18"/>
          </w:rPr>
          <w:t>Academic Integrity</w:t>
        </w:r>
      </w:hyperlink>
      <w:r w:rsidR="005A1A71">
        <w:rPr>
          <w:sz w:val="18"/>
          <w:szCs w:val="18"/>
        </w:rPr>
        <w:t xml:space="preserve">, </w:t>
      </w:r>
      <w:hyperlink r:id="rId10" w:history="1">
        <w:r w:rsidRPr="00241F07">
          <w:rPr>
            <w:rStyle w:val="Hyperlink"/>
            <w:sz w:val="18"/>
            <w:szCs w:val="18"/>
          </w:rPr>
          <w:t>Disability Accommodations</w:t>
        </w:r>
      </w:hyperlink>
      <w:r w:rsidR="005A1A71">
        <w:rPr>
          <w:sz w:val="18"/>
          <w:szCs w:val="18"/>
        </w:rPr>
        <w:t xml:space="preserve">, </w:t>
      </w:r>
      <w:hyperlink r:id="rId11" w:history="1">
        <w:r w:rsidRPr="00241F07">
          <w:rPr>
            <w:rStyle w:val="Hyperlink"/>
            <w:sz w:val="18"/>
            <w:szCs w:val="18"/>
          </w:rPr>
          <w:t>Diversity</w:t>
        </w:r>
      </w:hyperlink>
      <w:r w:rsidRPr="005A1A71">
        <w:rPr>
          <w:sz w:val="18"/>
          <w:szCs w:val="18"/>
        </w:rPr>
        <w:t xml:space="preserve">, </w:t>
      </w:r>
      <w:hyperlink r:id="rId12" w:history="1">
        <w:r w:rsidRPr="00241F07">
          <w:rPr>
            <w:rStyle w:val="Hyperlink"/>
            <w:sz w:val="18"/>
            <w:szCs w:val="18"/>
          </w:rPr>
          <w:t>Religious Holidays</w:t>
        </w:r>
      </w:hyperlink>
      <w:r w:rsidRPr="005A1A71">
        <w:rPr>
          <w:sz w:val="18"/>
          <w:szCs w:val="18"/>
        </w:rPr>
        <w:t xml:space="preserve">, etc. </w:t>
      </w:r>
      <w:hyperlink r:id="rId13" w:history="1">
        <w:r w:rsidRPr="00241F07">
          <w:rPr>
            <w:rStyle w:val="Hyperlink"/>
            <w:sz w:val="18"/>
            <w:szCs w:val="18"/>
          </w:rPr>
          <w:t>Student Privacy</w:t>
        </w:r>
      </w:hyperlink>
      <w:r w:rsidR="005A1A71">
        <w:rPr>
          <w:sz w:val="18"/>
          <w:szCs w:val="18"/>
        </w:rPr>
        <w:t xml:space="preserve">, </w:t>
      </w:r>
      <w:hyperlink r:id="rId14" w:history="1">
        <w:r w:rsidR="005A1A71" w:rsidRPr="00241F07">
          <w:rPr>
            <w:rStyle w:val="Hyperlink"/>
            <w:sz w:val="18"/>
            <w:szCs w:val="18"/>
          </w:rPr>
          <w:t>Student Responsibilities</w:t>
        </w:r>
      </w:hyperlink>
      <w:r w:rsidR="005A1A71">
        <w:rPr>
          <w:sz w:val="18"/>
          <w:szCs w:val="18"/>
        </w:rPr>
        <w:t xml:space="preserve">, </w:t>
      </w:r>
      <w:hyperlink r:id="rId15" w:history="1">
        <w:r w:rsidRPr="00CC155B">
          <w:rPr>
            <w:rStyle w:val="Hyperlink"/>
            <w:sz w:val="18"/>
            <w:szCs w:val="18"/>
          </w:rPr>
          <w:t>Student Services</w:t>
        </w:r>
      </w:hyperlink>
      <w:r w:rsidRPr="005A1A71">
        <w:rPr>
          <w:sz w:val="18"/>
          <w:szCs w:val="18"/>
        </w:rPr>
        <w:t xml:space="preserve"> (</w:t>
      </w:r>
      <w:hyperlink r:id="rId16" w:history="1">
        <w:r w:rsidRPr="0085246B">
          <w:rPr>
            <w:rStyle w:val="Hyperlink"/>
            <w:sz w:val="18"/>
            <w:szCs w:val="18"/>
          </w:rPr>
          <w:t>Library</w:t>
        </w:r>
      </w:hyperlink>
      <w:r w:rsidRPr="005A1A71">
        <w:rPr>
          <w:sz w:val="18"/>
          <w:szCs w:val="18"/>
        </w:rPr>
        <w:t xml:space="preserve">, </w:t>
      </w:r>
      <w:hyperlink r:id="rId17" w:history="1">
        <w:r w:rsidRPr="0085246B">
          <w:rPr>
            <w:rStyle w:val="Hyperlink"/>
            <w:sz w:val="18"/>
            <w:szCs w:val="18"/>
          </w:rPr>
          <w:t>Writing Center</w:t>
        </w:r>
      </w:hyperlink>
      <w:r w:rsidRPr="005A1A71">
        <w:rPr>
          <w:sz w:val="18"/>
          <w:szCs w:val="18"/>
        </w:rPr>
        <w:t xml:space="preserve">, </w:t>
      </w:r>
      <w:hyperlink r:id="rId18" w:history="1">
        <w:r w:rsidRPr="0085246B">
          <w:rPr>
            <w:rStyle w:val="Hyperlink"/>
            <w:sz w:val="18"/>
            <w:szCs w:val="18"/>
          </w:rPr>
          <w:t>Counseling</w:t>
        </w:r>
      </w:hyperlink>
      <w:r w:rsidRPr="005A1A71">
        <w:rPr>
          <w:sz w:val="18"/>
          <w:szCs w:val="18"/>
        </w:rPr>
        <w:t>, etc.)</w:t>
      </w:r>
    </w:p>
    <w:p w14:paraId="0D7E3BA3" w14:textId="36513C14" w:rsidR="0037619E" w:rsidRPr="002D5E18" w:rsidRDefault="0037619E" w:rsidP="00280770">
      <w:pPr>
        <w:pStyle w:val="Heading1"/>
      </w:pPr>
      <w:r w:rsidRPr="002D5E18">
        <w:rPr>
          <w:rStyle w:val="Heading2Char"/>
          <w:b/>
        </w:rPr>
        <w:t>Cour</w:t>
      </w:r>
      <w:r w:rsidR="0099662E" w:rsidRPr="002D5E18">
        <w:rPr>
          <w:rStyle w:val="Heading2Char"/>
          <w:b/>
        </w:rPr>
        <w:t>se Navigation and Presentation</w:t>
      </w:r>
      <w:r w:rsidR="009F5AE8" w:rsidRPr="002D5E18">
        <w:t>:</w:t>
      </w:r>
      <w:r w:rsidR="00F522E2" w:rsidRPr="002D5E18">
        <w:t xml:space="preserve"> </w:t>
      </w:r>
    </w:p>
    <w:p w14:paraId="3EC2A160" w14:textId="77777777" w:rsidR="0037619E" w:rsidRPr="00F522E2" w:rsidRDefault="0037619E" w:rsidP="0037619E">
      <w:pPr>
        <w:pStyle w:val="BodyText"/>
        <w:spacing w:before="43"/>
        <w:rPr>
          <w:rFonts w:asciiTheme="minorHAnsi" w:hAnsiTheme="minorHAnsi" w:cstheme="minorHAnsi"/>
          <w:i/>
          <w:color w:val="00B050"/>
          <w:sz w:val="18"/>
          <w:szCs w:val="18"/>
        </w:rPr>
      </w:pPr>
    </w:p>
    <w:p w14:paraId="557941E9" w14:textId="6AD2CAA8" w:rsidR="0037619E" w:rsidRPr="00283712" w:rsidRDefault="0099662E" w:rsidP="0099662E">
      <w:pPr>
        <w:pStyle w:val="ListParagraph"/>
        <w:numPr>
          <w:ilvl w:val="0"/>
          <w:numId w:val="3"/>
        </w:numPr>
        <w:rPr>
          <w:rFonts w:cstheme="minorHAnsi"/>
          <w:i/>
          <w:color w:val="00B050"/>
          <w:sz w:val="18"/>
          <w:szCs w:val="18"/>
        </w:rPr>
      </w:pPr>
      <w:r w:rsidRPr="00C06D17">
        <w:rPr>
          <w:rFonts w:cstheme="minorHAnsi"/>
          <w:b/>
          <w:color w:val="000000" w:themeColor="text1"/>
          <w:sz w:val="18"/>
          <w:szCs w:val="18"/>
        </w:rPr>
        <w:t>Homepage</w:t>
      </w:r>
      <w:r w:rsidRPr="0099662E">
        <w:rPr>
          <w:rFonts w:cstheme="minorHAnsi"/>
          <w:color w:val="000000" w:themeColor="text1"/>
          <w:sz w:val="18"/>
          <w:szCs w:val="18"/>
        </w:rPr>
        <w:t xml:space="preserve"> - </w:t>
      </w:r>
      <w:r w:rsidR="0037619E" w:rsidRPr="0099662E">
        <w:rPr>
          <w:rFonts w:cstheme="minorHAnsi"/>
          <w:color w:val="000000" w:themeColor="text1"/>
          <w:sz w:val="18"/>
          <w:szCs w:val="18"/>
        </w:rPr>
        <w:t xml:space="preserve"> </w:t>
      </w:r>
      <w:r w:rsidRPr="0099662E">
        <w:rPr>
          <w:rFonts w:cstheme="minorHAnsi"/>
          <w:color w:val="000000" w:themeColor="text1"/>
          <w:sz w:val="18"/>
          <w:szCs w:val="18"/>
        </w:rPr>
        <w:t>Course</w:t>
      </w:r>
      <w:r w:rsidR="005256AB">
        <w:rPr>
          <w:rFonts w:cstheme="minorHAnsi"/>
          <w:color w:val="000000" w:themeColor="text1"/>
          <w:sz w:val="18"/>
          <w:szCs w:val="18"/>
        </w:rPr>
        <w:t xml:space="preserve"> has a</w:t>
      </w:r>
      <w:r w:rsidRPr="0099662E">
        <w:rPr>
          <w:rFonts w:cstheme="minorHAnsi"/>
          <w:color w:val="000000" w:themeColor="text1"/>
          <w:sz w:val="18"/>
          <w:szCs w:val="18"/>
        </w:rPr>
        <w:t xml:space="preserve"> landing page (may include course visuals, announcements, to-do list or what's due)</w:t>
      </w:r>
      <w:r w:rsidR="00283712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10A7A5EB" w14:textId="51474196" w:rsidR="0099662E" w:rsidRPr="0099662E" w:rsidRDefault="0099662E" w:rsidP="0099662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C06D17">
        <w:rPr>
          <w:rFonts w:cstheme="minorHAnsi"/>
          <w:b/>
          <w:color w:val="000000" w:themeColor="text1"/>
          <w:sz w:val="18"/>
          <w:szCs w:val="18"/>
        </w:rPr>
        <w:t>Announcements</w:t>
      </w:r>
      <w:r w:rsidRPr="0099662E">
        <w:rPr>
          <w:rFonts w:cstheme="minorHAnsi"/>
          <w:color w:val="000000" w:themeColor="text1"/>
          <w:sz w:val="18"/>
          <w:szCs w:val="18"/>
        </w:rPr>
        <w:t xml:space="preserve"> </w:t>
      </w:r>
      <w:r w:rsidR="005256AB">
        <w:rPr>
          <w:rFonts w:cstheme="minorHAnsi"/>
          <w:color w:val="000000" w:themeColor="text1"/>
          <w:sz w:val="18"/>
          <w:szCs w:val="18"/>
        </w:rPr>
        <w:t>–</w:t>
      </w:r>
      <w:r w:rsidRPr="0099662E">
        <w:rPr>
          <w:rFonts w:cstheme="minorHAnsi"/>
          <w:color w:val="000000" w:themeColor="text1"/>
          <w:sz w:val="18"/>
          <w:szCs w:val="18"/>
        </w:rPr>
        <w:t xml:space="preserve"> </w:t>
      </w:r>
      <w:r w:rsidR="005256AB">
        <w:rPr>
          <w:rFonts w:ascii="Calibri" w:eastAsia="Times New Roman" w:hAnsi="Calibri" w:cs="Times New Roman"/>
          <w:color w:val="000000"/>
          <w:sz w:val="18"/>
          <w:szCs w:val="18"/>
        </w:rPr>
        <w:t>Announcement has been posted</w:t>
      </w:r>
      <w:r w:rsidR="00283712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12089B66" w14:textId="65C80F69" w:rsidR="0099662E" w:rsidRDefault="0099662E" w:rsidP="0099662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C06D17">
        <w:rPr>
          <w:rFonts w:cstheme="minorHAnsi"/>
          <w:b/>
          <w:color w:val="000000" w:themeColor="text1"/>
          <w:sz w:val="18"/>
          <w:szCs w:val="18"/>
        </w:rPr>
        <w:t>Course Welcome</w:t>
      </w:r>
      <w:r>
        <w:rPr>
          <w:rFonts w:cstheme="minorHAnsi"/>
          <w:color w:val="000000" w:themeColor="text1"/>
          <w:sz w:val="18"/>
          <w:szCs w:val="18"/>
        </w:rPr>
        <w:t xml:space="preserve"> - </w:t>
      </w:r>
      <w:r w:rsidRPr="0099662E">
        <w:rPr>
          <w:rFonts w:cstheme="minorHAnsi"/>
          <w:color w:val="000000" w:themeColor="text1"/>
          <w:sz w:val="18"/>
          <w:szCs w:val="18"/>
        </w:rPr>
        <w:t>Instructor bio, pictur</w:t>
      </w:r>
      <w:r>
        <w:rPr>
          <w:rFonts w:cstheme="minorHAnsi"/>
          <w:color w:val="000000" w:themeColor="text1"/>
          <w:sz w:val="18"/>
          <w:szCs w:val="18"/>
        </w:rPr>
        <w:t xml:space="preserve">e, and contact info are present, </w:t>
      </w:r>
      <w:r w:rsidRPr="0099662E">
        <w:rPr>
          <w:rFonts w:cstheme="minorHAnsi"/>
          <w:color w:val="000000" w:themeColor="text1"/>
          <w:sz w:val="18"/>
          <w:szCs w:val="18"/>
        </w:rPr>
        <w:t>Includes a warm welcome message to students (audio, video, or text based)</w:t>
      </w:r>
      <w:r>
        <w:rPr>
          <w:rFonts w:cstheme="minorHAnsi"/>
          <w:color w:val="000000" w:themeColor="text1"/>
          <w:sz w:val="18"/>
          <w:szCs w:val="18"/>
        </w:rPr>
        <w:t xml:space="preserve">, </w:t>
      </w:r>
      <w:r w:rsidRPr="0099662E">
        <w:rPr>
          <w:rFonts w:cstheme="minorHAnsi"/>
          <w:color w:val="000000" w:themeColor="text1"/>
          <w:sz w:val="18"/>
          <w:szCs w:val="18"/>
        </w:rPr>
        <w:t>Includes clear instructions for getting started</w:t>
      </w:r>
      <w:r w:rsidR="00283712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632A8E75" w14:textId="2A311AE0" w:rsidR="004F2BEB" w:rsidRDefault="004F2BEB" w:rsidP="004F2BEB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C06D17">
        <w:rPr>
          <w:rFonts w:cstheme="minorHAnsi"/>
          <w:b/>
          <w:color w:val="000000" w:themeColor="text1"/>
          <w:sz w:val="18"/>
          <w:szCs w:val="18"/>
        </w:rPr>
        <w:lastRenderedPageBreak/>
        <w:t xml:space="preserve">Syllabus </w:t>
      </w:r>
      <w:r w:rsidR="00CF554A">
        <w:rPr>
          <w:rFonts w:cstheme="minorHAnsi"/>
          <w:color w:val="000000" w:themeColor="text1"/>
          <w:sz w:val="18"/>
          <w:szCs w:val="18"/>
        </w:rPr>
        <w:t>–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="005256AB">
        <w:rPr>
          <w:rFonts w:cstheme="minorHAnsi"/>
          <w:color w:val="000000" w:themeColor="text1"/>
          <w:sz w:val="18"/>
          <w:szCs w:val="18"/>
        </w:rPr>
        <w:t>The syllabus document can b</w:t>
      </w:r>
      <w:r w:rsidRPr="004F2BEB">
        <w:rPr>
          <w:rFonts w:cstheme="minorHAnsi"/>
          <w:color w:val="000000" w:themeColor="text1"/>
          <w:sz w:val="18"/>
          <w:szCs w:val="18"/>
        </w:rPr>
        <w:t>e navigated easily (e.g., consistent use of headers or styles in WORD document</w:t>
      </w:r>
      <w:r>
        <w:rPr>
          <w:rFonts w:cstheme="minorHAnsi"/>
          <w:color w:val="000000" w:themeColor="text1"/>
          <w:sz w:val="18"/>
          <w:szCs w:val="18"/>
        </w:rPr>
        <w:t xml:space="preserve">, PDF file), </w:t>
      </w:r>
      <w:r w:rsidRPr="004F2BEB">
        <w:rPr>
          <w:rFonts w:cstheme="minorHAnsi"/>
          <w:color w:val="000000" w:themeColor="text1"/>
          <w:sz w:val="18"/>
          <w:szCs w:val="18"/>
        </w:rPr>
        <w:t>Print version of the Syllabus available</w:t>
      </w:r>
      <w:r>
        <w:rPr>
          <w:rFonts w:cstheme="minorHAnsi"/>
          <w:color w:val="000000" w:themeColor="text1"/>
          <w:sz w:val="18"/>
          <w:szCs w:val="18"/>
        </w:rPr>
        <w:t xml:space="preserve">, </w:t>
      </w:r>
      <w:r w:rsidRPr="004F2BEB">
        <w:rPr>
          <w:rFonts w:cstheme="minorHAnsi"/>
          <w:color w:val="000000" w:themeColor="text1"/>
          <w:sz w:val="18"/>
          <w:szCs w:val="18"/>
        </w:rPr>
        <w:t xml:space="preserve">Separate units for each week (or a specified </w:t>
      </w:r>
      <w:r>
        <w:rPr>
          <w:rFonts w:cstheme="minorHAnsi"/>
          <w:color w:val="000000" w:themeColor="text1"/>
          <w:sz w:val="18"/>
          <w:szCs w:val="18"/>
        </w:rPr>
        <w:t xml:space="preserve">time period) with specific dates, </w:t>
      </w:r>
      <w:r w:rsidRPr="004F2BEB">
        <w:rPr>
          <w:rFonts w:cstheme="minorHAnsi"/>
          <w:color w:val="000000" w:themeColor="text1"/>
          <w:sz w:val="18"/>
          <w:szCs w:val="18"/>
        </w:rPr>
        <w:t>Units having consistent structure (e.g., introduction to the topic, learning objectives, readings, mini-lectures, labs, assignments including how/where students will participate or submit, discussions, etc.)</w:t>
      </w:r>
      <w:r w:rsidR="00283712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7CF9A71A" w14:textId="0758A2E6" w:rsidR="0096603C" w:rsidRDefault="0096603C" w:rsidP="0096603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C06D17">
        <w:rPr>
          <w:rFonts w:cstheme="minorHAnsi"/>
          <w:b/>
          <w:color w:val="000000" w:themeColor="text1"/>
          <w:sz w:val="18"/>
          <w:szCs w:val="18"/>
        </w:rPr>
        <w:t>Weekly Units</w:t>
      </w:r>
      <w:r>
        <w:rPr>
          <w:rFonts w:cstheme="minorHAnsi"/>
          <w:color w:val="000000" w:themeColor="text1"/>
          <w:sz w:val="18"/>
          <w:szCs w:val="18"/>
        </w:rPr>
        <w:t xml:space="preserve"> - </w:t>
      </w:r>
      <w:r w:rsidRPr="0096603C">
        <w:rPr>
          <w:rFonts w:cstheme="minorHAnsi"/>
          <w:color w:val="000000" w:themeColor="text1"/>
          <w:sz w:val="18"/>
          <w:szCs w:val="18"/>
        </w:rPr>
        <w:t>Links to recorded lectures/presentations are provided and working</w:t>
      </w:r>
      <w:r>
        <w:rPr>
          <w:rFonts w:cstheme="minorHAnsi"/>
          <w:color w:val="000000" w:themeColor="text1"/>
          <w:sz w:val="18"/>
          <w:szCs w:val="18"/>
        </w:rPr>
        <w:t xml:space="preserve">, </w:t>
      </w:r>
      <w:r w:rsidRPr="0096603C">
        <w:rPr>
          <w:rFonts w:cstheme="minorHAnsi"/>
          <w:color w:val="000000" w:themeColor="text1"/>
          <w:sz w:val="18"/>
          <w:szCs w:val="18"/>
        </w:rPr>
        <w:t>Links to external websites, e-book, YouTube, etc. are working</w:t>
      </w:r>
      <w:r>
        <w:rPr>
          <w:rFonts w:cstheme="minorHAnsi"/>
          <w:color w:val="000000" w:themeColor="text1"/>
          <w:sz w:val="18"/>
          <w:szCs w:val="18"/>
        </w:rPr>
        <w:t xml:space="preserve">, </w:t>
      </w:r>
      <w:r w:rsidRPr="0096603C">
        <w:rPr>
          <w:rFonts w:cstheme="minorHAnsi"/>
          <w:color w:val="000000" w:themeColor="text1"/>
          <w:sz w:val="18"/>
          <w:szCs w:val="18"/>
        </w:rPr>
        <w:t>Includes all assignments for the week and associated grading criteria/rubrics</w:t>
      </w:r>
      <w:r>
        <w:rPr>
          <w:rFonts w:cstheme="minorHAnsi"/>
          <w:color w:val="000000" w:themeColor="text1"/>
          <w:sz w:val="18"/>
          <w:szCs w:val="18"/>
        </w:rPr>
        <w:t xml:space="preserve">, </w:t>
      </w:r>
      <w:r w:rsidRPr="0096603C">
        <w:rPr>
          <w:rFonts w:cstheme="minorHAnsi"/>
          <w:color w:val="000000" w:themeColor="text1"/>
          <w:sz w:val="18"/>
          <w:szCs w:val="18"/>
        </w:rPr>
        <w:t>Discussion/Blog/Journal prompts and descriptions have been created in Blackboard</w:t>
      </w:r>
      <w:r w:rsidR="00283712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5E0FB1E8" w14:textId="5B8A885A" w:rsidR="00CC48C1" w:rsidRDefault="00CC48C1" w:rsidP="00CC48C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C06D17">
        <w:rPr>
          <w:rFonts w:cstheme="minorHAnsi"/>
          <w:b/>
          <w:color w:val="000000" w:themeColor="text1"/>
          <w:sz w:val="18"/>
          <w:szCs w:val="18"/>
        </w:rPr>
        <w:t>Test/Quizzes (If applicable)</w:t>
      </w:r>
      <w:r>
        <w:rPr>
          <w:rFonts w:cstheme="minorHAnsi"/>
          <w:color w:val="000000" w:themeColor="text1"/>
          <w:sz w:val="18"/>
          <w:szCs w:val="18"/>
        </w:rPr>
        <w:t xml:space="preserve"> - </w:t>
      </w:r>
      <w:r w:rsidRPr="00CC48C1">
        <w:rPr>
          <w:rFonts w:cstheme="minorHAnsi"/>
          <w:color w:val="000000" w:themeColor="text1"/>
          <w:sz w:val="18"/>
          <w:szCs w:val="18"/>
        </w:rPr>
        <w:t>Tests/Quizzes are developed in Blackboard with assigned points</w:t>
      </w:r>
      <w:r w:rsidR="00283712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0C2D2B43" w14:textId="4C242F3B" w:rsidR="0099662E" w:rsidRPr="006B69C8" w:rsidRDefault="00CC48C1" w:rsidP="007F013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F522E2">
        <w:rPr>
          <w:rFonts w:cstheme="minorHAnsi"/>
          <w:b/>
          <w:color w:val="000000" w:themeColor="text1"/>
          <w:sz w:val="18"/>
          <w:szCs w:val="18"/>
        </w:rPr>
        <w:t>Course Tools</w:t>
      </w:r>
      <w:r>
        <w:rPr>
          <w:rFonts w:cstheme="minorHAnsi"/>
          <w:color w:val="000000" w:themeColor="text1"/>
          <w:sz w:val="18"/>
          <w:szCs w:val="18"/>
        </w:rPr>
        <w:t xml:space="preserve"> - </w:t>
      </w:r>
      <w:r w:rsidRPr="00CC48C1">
        <w:rPr>
          <w:rFonts w:cstheme="minorHAnsi"/>
          <w:color w:val="000000" w:themeColor="text1"/>
          <w:sz w:val="18"/>
          <w:szCs w:val="18"/>
        </w:rPr>
        <w:t xml:space="preserve">Available to students as applicable for the course (e.g., </w:t>
      </w:r>
      <w:proofErr w:type="spellStart"/>
      <w:r w:rsidRPr="00CC48C1">
        <w:rPr>
          <w:rFonts w:cstheme="minorHAnsi"/>
          <w:color w:val="000000" w:themeColor="text1"/>
          <w:sz w:val="18"/>
          <w:szCs w:val="18"/>
        </w:rPr>
        <w:t>MyGrades</w:t>
      </w:r>
      <w:proofErr w:type="spellEnd"/>
      <w:r w:rsidRPr="00CC48C1">
        <w:rPr>
          <w:rFonts w:cstheme="minorHAnsi"/>
          <w:color w:val="000000" w:themeColor="text1"/>
          <w:sz w:val="18"/>
          <w:szCs w:val="18"/>
        </w:rPr>
        <w:t>, Email, Collaborate</w:t>
      </w:r>
      <w:r w:rsidR="00311710">
        <w:rPr>
          <w:rFonts w:cstheme="minorHAnsi"/>
          <w:color w:val="000000" w:themeColor="text1"/>
          <w:sz w:val="18"/>
          <w:szCs w:val="18"/>
        </w:rPr>
        <w:t xml:space="preserve"> Ultra</w:t>
      </w:r>
      <w:r w:rsidRPr="00CC48C1">
        <w:rPr>
          <w:rFonts w:cstheme="minorHAnsi"/>
          <w:color w:val="000000" w:themeColor="text1"/>
          <w:sz w:val="18"/>
          <w:szCs w:val="18"/>
        </w:rPr>
        <w:t>, Blog, SafeAssign, etc.)</w:t>
      </w:r>
      <w:r w:rsidR="00283712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1AA3DD26" w14:textId="1965E515" w:rsidR="007F0134" w:rsidRPr="007F0134" w:rsidRDefault="007F0134" w:rsidP="007F0134">
      <w:pPr>
        <w:pStyle w:val="ListParagraph"/>
        <w:rPr>
          <w:rFonts w:cstheme="minorHAnsi"/>
          <w:b/>
          <w:color w:val="000000" w:themeColor="text1"/>
          <w:sz w:val="18"/>
          <w:szCs w:val="18"/>
        </w:rPr>
      </w:pPr>
    </w:p>
    <w:p w14:paraId="187BC684" w14:textId="13F157E1" w:rsidR="009F5AE8" w:rsidRPr="002D5E18" w:rsidRDefault="004475ED" w:rsidP="00280770">
      <w:pPr>
        <w:pStyle w:val="Heading1"/>
      </w:pPr>
      <w:r w:rsidRPr="002D5E18">
        <w:rPr>
          <w:rStyle w:val="Heading2Char"/>
          <w:b/>
        </w:rPr>
        <w:t>Accessibility</w:t>
      </w:r>
      <w:r w:rsidRPr="002D5E18">
        <w:t>:</w:t>
      </w:r>
      <w:r w:rsidR="00F522E2" w:rsidRPr="002D5E18">
        <w:t xml:space="preserve"> </w:t>
      </w:r>
    </w:p>
    <w:p w14:paraId="228E72B2" w14:textId="083FF061" w:rsidR="009F5AE8" w:rsidRPr="009F5AE8" w:rsidRDefault="009F5AE8" w:rsidP="009F5AE8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F522E2">
        <w:rPr>
          <w:b/>
          <w:sz w:val="18"/>
          <w:szCs w:val="18"/>
        </w:rPr>
        <w:t>Video -</w:t>
      </w:r>
      <w:r w:rsidRPr="009F5AE8">
        <w:rPr>
          <w:sz w:val="18"/>
          <w:szCs w:val="18"/>
        </w:rPr>
        <w:t xml:space="preserve"> All </w:t>
      </w:r>
      <w:hyperlink r:id="rId19" w:history="1">
        <w:r w:rsidRPr="00A67DB2">
          <w:rPr>
            <w:rStyle w:val="Hyperlink"/>
            <w:sz w:val="18"/>
            <w:szCs w:val="18"/>
          </w:rPr>
          <w:t>videos</w:t>
        </w:r>
      </w:hyperlink>
      <w:r w:rsidRPr="00A67DB2">
        <w:rPr>
          <w:sz w:val="18"/>
          <w:szCs w:val="18"/>
        </w:rPr>
        <w:t xml:space="preserve"> </w:t>
      </w:r>
      <w:r w:rsidRPr="009F5AE8">
        <w:rPr>
          <w:sz w:val="18"/>
          <w:szCs w:val="18"/>
        </w:rPr>
        <w:t>ar</w:t>
      </w:r>
      <w:r w:rsidR="00F522E2">
        <w:rPr>
          <w:sz w:val="18"/>
          <w:szCs w:val="18"/>
        </w:rPr>
        <w:t>e captioned and have transcripts;</w:t>
      </w:r>
      <w:r w:rsidRPr="009F5AE8">
        <w:rPr>
          <w:sz w:val="18"/>
          <w:szCs w:val="18"/>
        </w:rPr>
        <w:t xml:space="preserve"> </w:t>
      </w:r>
      <w:hyperlink r:id="rId20" w:history="1">
        <w:r w:rsidRPr="00A67DB2">
          <w:rPr>
            <w:rStyle w:val="Hyperlink"/>
            <w:sz w:val="18"/>
            <w:szCs w:val="18"/>
          </w:rPr>
          <w:t>PowerPoint</w:t>
        </w:r>
      </w:hyperlink>
      <w:r w:rsidRPr="00F522E2">
        <w:rPr>
          <w:b/>
          <w:sz w:val="18"/>
          <w:szCs w:val="18"/>
        </w:rPr>
        <w:t xml:space="preserve"> </w:t>
      </w:r>
      <w:r w:rsidRPr="009F5AE8">
        <w:rPr>
          <w:sz w:val="18"/>
          <w:szCs w:val="18"/>
        </w:rPr>
        <w:t>- Accessible PowerPoint slides are available for each lectu</w:t>
      </w:r>
      <w:r w:rsidR="00F522E2">
        <w:rPr>
          <w:sz w:val="18"/>
          <w:szCs w:val="18"/>
        </w:rPr>
        <w:t>re/presentation with the videos;</w:t>
      </w:r>
      <w:r w:rsidRPr="009F5AE8">
        <w:rPr>
          <w:sz w:val="18"/>
          <w:szCs w:val="18"/>
        </w:rPr>
        <w:t xml:space="preserve"> </w:t>
      </w:r>
      <w:hyperlink r:id="rId21" w:history="1">
        <w:r w:rsidRPr="00A67DB2">
          <w:rPr>
            <w:rStyle w:val="Hyperlink"/>
            <w:sz w:val="18"/>
            <w:szCs w:val="18"/>
          </w:rPr>
          <w:t>WORD</w:t>
        </w:r>
      </w:hyperlink>
      <w:r w:rsidRPr="00F522E2">
        <w:rPr>
          <w:b/>
          <w:sz w:val="18"/>
          <w:szCs w:val="18"/>
        </w:rPr>
        <w:t xml:space="preserve"> -</w:t>
      </w:r>
      <w:r w:rsidRPr="009F5AE8">
        <w:rPr>
          <w:sz w:val="18"/>
          <w:szCs w:val="18"/>
        </w:rPr>
        <w:t xml:space="preserve"> All Word documents are accessible</w:t>
      </w:r>
      <w:r w:rsidR="00F522E2">
        <w:rPr>
          <w:sz w:val="18"/>
          <w:szCs w:val="18"/>
        </w:rPr>
        <w:t>;</w:t>
      </w:r>
      <w:r w:rsidRPr="009F5AE8">
        <w:rPr>
          <w:sz w:val="18"/>
          <w:szCs w:val="18"/>
        </w:rPr>
        <w:t xml:space="preserve"> </w:t>
      </w:r>
      <w:hyperlink r:id="rId22" w:history="1">
        <w:r w:rsidRPr="00A67DB2">
          <w:rPr>
            <w:rStyle w:val="Hyperlink"/>
            <w:sz w:val="18"/>
            <w:szCs w:val="18"/>
          </w:rPr>
          <w:t>PDF</w:t>
        </w:r>
      </w:hyperlink>
      <w:r w:rsidRPr="00A67DB2">
        <w:rPr>
          <w:sz w:val="18"/>
          <w:szCs w:val="18"/>
        </w:rPr>
        <w:t xml:space="preserve"> </w:t>
      </w:r>
      <w:r w:rsidRPr="009F5AE8">
        <w:rPr>
          <w:sz w:val="18"/>
          <w:szCs w:val="18"/>
        </w:rPr>
        <w:t>- PDF documents are text-based and fully accessible, External Resources - All publisher-provided resources are accessible, or alternate equivalent resources or strategies are provided (</w:t>
      </w:r>
      <w:r w:rsidRPr="009F5AE8">
        <w:rPr>
          <w:i/>
          <w:sz w:val="18"/>
          <w:szCs w:val="18"/>
        </w:rPr>
        <w:t xml:space="preserve">contact the </w:t>
      </w:r>
      <w:hyperlink r:id="rId23" w:history="1">
        <w:r w:rsidRPr="00CC155B">
          <w:rPr>
            <w:rStyle w:val="Hyperlink"/>
            <w:i/>
            <w:sz w:val="18"/>
            <w:szCs w:val="18"/>
          </w:rPr>
          <w:t>GMU ATI office</w:t>
        </w:r>
      </w:hyperlink>
      <w:r w:rsidRPr="009F5AE8">
        <w:rPr>
          <w:i/>
          <w:sz w:val="18"/>
          <w:szCs w:val="18"/>
        </w:rPr>
        <w:t xml:space="preserve"> in case help is needed.</w:t>
      </w:r>
      <w:r w:rsidRPr="009F5AE8">
        <w:rPr>
          <w:sz w:val="18"/>
          <w:szCs w:val="18"/>
        </w:rPr>
        <w:t>)</w:t>
      </w:r>
    </w:p>
    <w:p w14:paraId="7AC366C9" w14:textId="77777777" w:rsidR="00642715" w:rsidRPr="00A67DB2" w:rsidRDefault="00642715" w:rsidP="00642715">
      <w:pPr>
        <w:rPr>
          <w:b/>
        </w:rPr>
      </w:pPr>
    </w:p>
    <w:p w14:paraId="1C6382F3" w14:textId="24919F6E" w:rsidR="006B69C8" w:rsidRDefault="006B69C8" w:rsidP="00BD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20"/>
          <w:szCs w:val="20"/>
        </w:rPr>
        <w:t>Notes</w:t>
      </w:r>
      <w:r w:rsidR="00BD399E" w:rsidRPr="009F5AE8">
        <w:rPr>
          <w:sz w:val="20"/>
          <w:szCs w:val="20"/>
        </w:rPr>
        <w:t>:</w:t>
      </w:r>
      <w:r w:rsidR="005E08AB">
        <w:rPr>
          <w:sz w:val="18"/>
          <w:szCs w:val="18"/>
        </w:rPr>
        <w:t xml:space="preserve"> </w:t>
      </w:r>
    </w:p>
    <w:p w14:paraId="704C148E" w14:textId="55B2F684" w:rsidR="006B69C8" w:rsidRPr="00F43B51" w:rsidRDefault="006B69C8" w:rsidP="00BD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sectPr w:rsidR="006B69C8" w:rsidRPr="00F43B51" w:rsidSect="001D37E6">
      <w:headerReference w:type="default" r:id="rId24"/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B8A1" w14:textId="77777777" w:rsidR="00017F33" w:rsidRDefault="00017F33" w:rsidP="006C4314">
      <w:pPr>
        <w:spacing w:after="0" w:line="240" w:lineRule="auto"/>
      </w:pPr>
      <w:r>
        <w:separator/>
      </w:r>
    </w:p>
  </w:endnote>
  <w:endnote w:type="continuationSeparator" w:id="0">
    <w:p w14:paraId="7C5AE214" w14:textId="77777777" w:rsidR="00017F33" w:rsidRDefault="00017F33" w:rsidP="006C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80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6F850" w14:textId="77C8FB3A" w:rsidR="00C06D17" w:rsidRDefault="00C06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4B6C1E" w14:textId="3A55EB0C" w:rsidR="006C4314" w:rsidRDefault="006C4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4BB6" w14:textId="77777777" w:rsidR="00017F33" w:rsidRDefault="00017F33" w:rsidP="006C4314">
      <w:pPr>
        <w:spacing w:after="0" w:line="240" w:lineRule="auto"/>
      </w:pPr>
      <w:r>
        <w:separator/>
      </w:r>
    </w:p>
  </w:footnote>
  <w:footnote w:type="continuationSeparator" w:id="0">
    <w:p w14:paraId="0E09DB2B" w14:textId="77777777" w:rsidR="00017F33" w:rsidRDefault="00017F33" w:rsidP="006C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622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ABBBE2" w14:textId="2610CE5E" w:rsidR="00C06D17" w:rsidRDefault="00C06D17" w:rsidP="00C06D17">
        <w:pPr>
          <w:pStyle w:val="Header"/>
        </w:pPr>
        <w:r>
          <w:rPr>
            <w:noProof/>
          </w:rPr>
          <w:drawing>
            <wp:inline distT="0" distB="0" distL="0" distR="0" wp14:anchorId="5AEF1F3A" wp14:editId="380219A2">
              <wp:extent cx="2654231" cy="600418"/>
              <wp:effectExtent l="0" t="0" r="0" b="0"/>
              <wp:docPr id="2" name="Picture 2" descr="This is the Stearns Center Logo for Teaching and Learning" title="Stearns Center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7-Stearns-Website-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1495" cy="6043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F340900" w14:textId="7A7EFC8E" w:rsidR="006C4314" w:rsidRDefault="006C4314" w:rsidP="00C06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8DC"/>
    <w:multiLevelType w:val="hybridMultilevel"/>
    <w:tmpl w:val="2DD82970"/>
    <w:lvl w:ilvl="0" w:tplc="E1644DF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8A8"/>
    <w:multiLevelType w:val="hybridMultilevel"/>
    <w:tmpl w:val="135E5DFC"/>
    <w:lvl w:ilvl="0" w:tplc="1EA403F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1AC"/>
    <w:multiLevelType w:val="hybridMultilevel"/>
    <w:tmpl w:val="335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1B77"/>
    <w:multiLevelType w:val="hybridMultilevel"/>
    <w:tmpl w:val="92B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2AFD"/>
    <w:multiLevelType w:val="hybridMultilevel"/>
    <w:tmpl w:val="E25440F8"/>
    <w:lvl w:ilvl="0" w:tplc="E1644DF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73A54"/>
    <w:multiLevelType w:val="hybridMultilevel"/>
    <w:tmpl w:val="C9D0EDC0"/>
    <w:lvl w:ilvl="0" w:tplc="E1644DF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283A"/>
    <w:multiLevelType w:val="hybridMultilevel"/>
    <w:tmpl w:val="035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113D"/>
    <w:multiLevelType w:val="hybridMultilevel"/>
    <w:tmpl w:val="12080210"/>
    <w:lvl w:ilvl="0" w:tplc="E1644DF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3E13"/>
    <w:multiLevelType w:val="multilevel"/>
    <w:tmpl w:val="3E6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445D0"/>
    <w:multiLevelType w:val="multilevel"/>
    <w:tmpl w:val="0FE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718F4"/>
    <w:multiLevelType w:val="hybridMultilevel"/>
    <w:tmpl w:val="4FD2AE0A"/>
    <w:lvl w:ilvl="0" w:tplc="E1644DF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A61BD"/>
    <w:multiLevelType w:val="hybridMultilevel"/>
    <w:tmpl w:val="D83CF6B4"/>
    <w:lvl w:ilvl="0" w:tplc="E1644DF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66CEE"/>
    <w:multiLevelType w:val="hybridMultilevel"/>
    <w:tmpl w:val="507E5482"/>
    <w:lvl w:ilvl="0" w:tplc="E1644DF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65BB6"/>
    <w:multiLevelType w:val="hybridMultilevel"/>
    <w:tmpl w:val="9E04AE7C"/>
    <w:lvl w:ilvl="0" w:tplc="3FF4DB1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2E2F"/>
    <w:multiLevelType w:val="hybridMultilevel"/>
    <w:tmpl w:val="FF481A76"/>
    <w:lvl w:ilvl="0" w:tplc="E1644DF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8C"/>
    <w:rsid w:val="000047DF"/>
    <w:rsid w:val="00015B0A"/>
    <w:rsid w:val="00017F33"/>
    <w:rsid w:val="0005612A"/>
    <w:rsid w:val="00061D7F"/>
    <w:rsid w:val="0008065C"/>
    <w:rsid w:val="00092FB9"/>
    <w:rsid w:val="000B7D3D"/>
    <w:rsid w:val="000C6888"/>
    <w:rsid w:val="000D46B5"/>
    <w:rsid w:val="000D6EC3"/>
    <w:rsid w:val="000D7DFC"/>
    <w:rsid w:val="000E5E77"/>
    <w:rsid w:val="000F1031"/>
    <w:rsid w:val="000F183F"/>
    <w:rsid w:val="00102773"/>
    <w:rsid w:val="00133162"/>
    <w:rsid w:val="00146AE1"/>
    <w:rsid w:val="00147838"/>
    <w:rsid w:val="001661B9"/>
    <w:rsid w:val="00185AB4"/>
    <w:rsid w:val="001A34EA"/>
    <w:rsid w:val="001A6F00"/>
    <w:rsid w:val="001B1EC8"/>
    <w:rsid w:val="001D37E6"/>
    <w:rsid w:val="001D4678"/>
    <w:rsid w:val="001D7BAA"/>
    <w:rsid w:val="001F02BD"/>
    <w:rsid w:val="00220AAF"/>
    <w:rsid w:val="00232257"/>
    <w:rsid w:val="00241F07"/>
    <w:rsid w:val="00242E53"/>
    <w:rsid w:val="00256946"/>
    <w:rsid w:val="00260F26"/>
    <w:rsid w:val="002729C2"/>
    <w:rsid w:val="0028014C"/>
    <w:rsid w:val="00280770"/>
    <w:rsid w:val="00283712"/>
    <w:rsid w:val="002873F3"/>
    <w:rsid w:val="002A720A"/>
    <w:rsid w:val="002B6BF8"/>
    <w:rsid w:val="002C4009"/>
    <w:rsid w:val="002C5BCB"/>
    <w:rsid w:val="002D5E18"/>
    <w:rsid w:val="002F04DA"/>
    <w:rsid w:val="00302196"/>
    <w:rsid w:val="00311021"/>
    <w:rsid w:val="00311710"/>
    <w:rsid w:val="00315E0B"/>
    <w:rsid w:val="00316198"/>
    <w:rsid w:val="00317676"/>
    <w:rsid w:val="00321164"/>
    <w:rsid w:val="0033479D"/>
    <w:rsid w:val="00342C2B"/>
    <w:rsid w:val="00343843"/>
    <w:rsid w:val="00355C0E"/>
    <w:rsid w:val="0037619E"/>
    <w:rsid w:val="003814E3"/>
    <w:rsid w:val="0038701A"/>
    <w:rsid w:val="003E52E2"/>
    <w:rsid w:val="003F5821"/>
    <w:rsid w:val="00412626"/>
    <w:rsid w:val="004267D5"/>
    <w:rsid w:val="00437D52"/>
    <w:rsid w:val="004428D2"/>
    <w:rsid w:val="004442EE"/>
    <w:rsid w:val="004475ED"/>
    <w:rsid w:val="00471B40"/>
    <w:rsid w:val="004729E0"/>
    <w:rsid w:val="004750C6"/>
    <w:rsid w:val="004864BF"/>
    <w:rsid w:val="0049542F"/>
    <w:rsid w:val="004E6F33"/>
    <w:rsid w:val="004F14E6"/>
    <w:rsid w:val="004F2BEB"/>
    <w:rsid w:val="004F4559"/>
    <w:rsid w:val="00511E75"/>
    <w:rsid w:val="00524856"/>
    <w:rsid w:val="005256AB"/>
    <w:rsid w:val="00540988"/>
    <w:rsid w:val="00554D4F"/>
    <w:rsid w:val="00554F1C"/>
    <w:rsid w:val="0056100B"/>
    <w:rsid w:val="0057423B"/>
    <w:rsid w:val="005902D8"/>
    <w:rsid w:val="005A1A71"/>
    <w:rsid w:val="005B0A67"/>
    <w:rsid w:val="005D0789"/>
    <w:rsid w:val="005D2B1B"/>
    <w:rsid w:val="005D5B68"/>
    <w:rsid w:val="005E08AB"/>
    <w:rsid w:val="005E7157"/>
    <w:rsid w:val="005F478C"/>
    <w:rsid w:val="005F56C1"/>
    <w:rsid w:val="006000C5"/>
    <w:rsid w:val="006076AC"/>
    <w:rsid w:val="0062226E"/>
    <w:rsid w:val="00642715"/>
    <w:rsid w:val="0064566C"/>
    <w:rsid w:val="006549AF"/>
    <w:rsid w:val="00667C23"/>
    <w:rsid w:val="006B4063"/>
    <w:rsid w:val="006B69C8"/>
    <w:rsid w:val="006C4314"/>
    <w:rsid w:val="006D1C70"/>
    <w:rsid w:val="006F2217"/>
    <w:rsid w:val="00714BB0"/>
    <w:rsid w:val="00723B67"/>
    <w:rsid w:val="0073579E"/>
    <w:rsid w:val="007411BC"/>
    <w:rsid w:val="00797274"/>
    <w:rsid w:val="007B2FA5"/>
    <w:rsid w:val="007D2ECB"/>
    <w:rsid w:val="007E2103"/>
    <w:rsid w:val="007F0134"/>
    <w:rsid w:val="007F37C0"/>
    <w:rsid w:val="007F4BB9"/>
    <w:rsid w:val="00806BD2"/>
    <w:rsid w:val="00850718"/>
    <w:rsid w:val="0085246B"/>
    <w:rsid w:val="00861E94"/>
    <w:rsid w:val="00885F84"/>
    <w:rsid w:val="00890562"/>
    <w:rsid w:val="00896D35"/>
    <w:rsid w:val="008E6784"/>
    <w:rsid w:val="008E72F2"/>
    <w:rsid w:val="008E7E40"/>
    <w:rsid w:val="009030D3"/>
    <w:rsid w:val="009079A3"/>
    <w:rsid w:val="009130B5"/>
    <w:rsid w:val="0091514F"/>
    <w:rsid w:val="00915242"/>
    <w:rsid w:val="00927FE3"/>
    <w:rsid w:val="00930782"/>
    <w:rsid w:val="0094652D"/>
    <w:rsid w:val="00954FB2"/>
    <w:rsid w:val="0096603C"/>
    <w:rsid w:val="0099662E"/>
    <w:rsid w:val="009A0382"/>
    <w:rsid w:val="009A20BE"/>
    <w:rsid w:val="009B77EB"/>
    <w:rsid w:val="009C1AB2"/>
    <w:rsid w:val="009C2498"/>
    <w:rsid w:val="009E5AE0"/>
    <w:rsid w:val="009F450C"/>
    <w:rsid w:val="009F5AE8"/>
    <w:rsid w:val="00A41A92"/>
    <w:rsid w:val="00A52AA1"/>
    <w:rsid w:val="00A60B7E"/>
    <w:rsid w:val="00A67DB2"/>
    <w:rsid w:val="00A855BE"/>
    <w:rsid w:val="00A91454"/>
    <w:rsid w:val="00A91F2D"/>
    <w:rsid w:val="00AA30DE"/>
    <w:rsid w:val="00AC2A4E"/>
    <w:rsid w:val="00B11F20"/>
    <w:rsid w:val="00B30C69"/>
    <w:rsid w:val="00B324A0"/>
    <w:rsid w:val="00BA10BC"/>
    <w:rsid w:val="00BC3AB7"/>
    <w:rsid w:val="00BD399E"/>
    <w:rsid w:val="00BE6C66"/>
    <w:rsid w:val="00C04392"/>
    <w:rsid w:val="00C06D17"/>
    <w:rsid w:val="00C269DD"/>
    <w:rsid w:val="00C320BA"/>
    <w:rsid w:val="00C572C8"/>
    <w:rsid w:val="00C625E6"/>
    <w:rsid w:val="00C94541"/>
    <w:rsid w:val="00CC155B"/>
    <w:rsid w:val="00CC48C1"/>
    <w:rsid w:val="00CC4DEA"/>
    <w:rsid w:val="00CD2493"/>
    <w:rsid w:val="00CD4F9A"/>
    <w:rsid w:val="00CD5E99"/>
    <w:rsid w:val="00CE01E9"/>
    <w:rsid w:val="00CF554A"/>
    <w:rsid w:val="00D00A1C"/>
    <w:rsid w:val="00D02839"/>
    <w:rsid w:val="00D174F1"/>
    <w:rsid w:val="00D21067"/>
    <w:rsid w:val="00D672FC"/>
    <w:rsid w:val="00D82E4F"/>
    <w:rsid w:val="00D954E8"/>
    <w:rsid w:val="00DA2B3B"/>
    <w:rsid w:val="00DC0E53"/>
    <w:rsid w:val="00DE654A"/>
    <w:rsid w:val="00E05604"/>
    <w:rsid w:val="00E26DF8"/>
    <w:rsid w:val="00E33DF0"/>
    <w:rsid w:val="00E35DFD"/>
    <w:rsid w:val="00E629E9"/>
    <w:rsid w:val="00E863EE"/>
    <w:rsid w:val="00E870FC"/>
    <w:rsid w:val="00EA2E16"/>
    <w:rsid w:val="00EA7955"/>
    <w:rsid w:val="00EB7ED1"/>
    <w:rsid w:val="00ED70EA"/>
    <w:rsid w:val="00F0621A"/>
    <w:rsid w:val="00F1586E"/>
    <w:rsid w:val="00F37D54"/>
    <w:rsid w:val="00F43B51"/>
    <w:rsid w:val="00F522E2"/>
    <w:rsid w:val="00F52DAB"/>
    <w:rsid w:val="00F63612"/>
    <w:rsid w:val="00FD0439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AED2C"/>
  <w15:docId w15:val="{658731E4-EE1D-4C68-AADA-A77C445F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770"/>
    <w:pPr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E18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59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14"/>
  </w:style>
  <w:style w:type="paragraph" w:styleId="Footer">
    <w:name w:val="footer"/>
    <w:basedOn w:val="Normal"/>
    <w:link w:val="FooterChar"/>
    <w:uiPriority w:val="99"/>
    <w:unhideWhenUsed/>
    <w:rsid w:val="006C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14"/>
  </w:style>
  <w:style w:type="paragraph" w:styleId="BalloonText">
    <w:name w:val="Balloon Text"/>
    <w:basedOn w:val="Normal"/>
    <w:link w:val="BalloonTextChar"/>
    <w:uiPriority w:val="99"/>
    <w:semiHidden/>
    <w:unhideWhenUsed/>
    <w:rsid w:val="007D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C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02196"/>
    <w:pPr>
      <w:widowControl w:val="0"/>
      <w:spacing w:before="41" w:after="0" w:line="240" w:lineRule="auto"/>
      <w:ind w:left="8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2196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A4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F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1F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770"/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5E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matters.org/sites/default/files/PDFs/StandardsfromtheQMHigherEducationRubric.pdf" TargetMode="External"/><Relationship Id="rId13" Type="http://schemas.openxmlformats.org/officeDocument/2006/relationships/hyperlink" Target="https://registrar.gmu.edu/ferpa/" TargetMode="External"/><Relationship Id="rId18" Type="http://schemas.openxmlformats.org/officeDocument/2006/relationships/hyperlink" Target="https://caps.gmu.ed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ti.gmu.edu/accessible-text/accessible-documents/" TargetMode="External"/><Relationship Id="rId7" Type="http://schemas.openxmlformats.org/officeDocument/2006/relationships/hyperlink" Target="https://onlinelearningconsortium.org/consult/olc-quality-course-teaching-instructional-practice/" TargetMode="External"/><Relationship Id="rId12" Type="http://schemas.openxmlformats.org/officeDocument/2006/relationships/hyperlink" Target="https://ulife.gmu.edu/religious-holiday-calendar/" TargetMode="External"/><Relationship Id="rId17" Type="http://schemas.openxmlformats.org/officeDocument/2006/relationships/hyperlink" Target="https://writingcenter.gmu.ed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ibrary.gmu.edu/" TargetMode="External"/><Relationship Id="rId20" Type="http://schemas.openxmlformats.org/officeDocument/2006/relationships/hyperlink" Target="https://ati.gmu.edu/accessible-text/accessible-docum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versity.gmu.ed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ssc.gmu.edu/" TargetMode="External"/><Relationship Id="rId23" Type="http://schemas.openxmlformats.org/officeDocument/2006/relationships/hyperlink" Target="https://ati.gmu.edu/contact-us/" TargetMode="External"/><Relationship Id="rId10" Type="http://schemas.openxmlformats.org/officeDocument/2006/relationships/hyperlink" Target="https://ds.gmu.edu/" TargetMode="External"/><Relationship Id="rId19" Type="http://schemas.openxmlformats.org/officeDocument/2006/relationships/hyperlink" Target="https://ati.gmu.edu/accessible-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ai.gmu.edu/" TargetMode="External"/><Relationship Id="rId14" Type="http://schemas.openxmlformats.org/officeDocument/2006/relationships/hyperlink" Target="https://catalog.gmu.edu/archives/2017-2018/policies/student-rights-responsibilities/" TargetMode="External"/><Relationship Id="rId22" Type="http://schemas.openxmlformats.org/officeDocument/2006/relationships/hyperlink" Target="https://ati.gmu.edu/accessible-text/accessible-document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Readiness Checklist</vt:lpstr>
    </vt:vector>
  </TitlesOfParts>
  <Company>George Mason University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Readiness Checklist</dc:title>
  <dc:creator>Stearns Center for Teaching and Learning</dc:creator>
  <cp:lastModifiedBy>Shelley Reid</cp:lastModifiedBy>
  <cp:revision>2</cp:revision>
  <cp:lastPrinted>2017-09-05T21:11:00Z</cp:lastPrinted>
  <dcterms:created xsi:type="dcterms:W3CDTF">2020-08-11T03:06:00Z</dcterms:created>
  <dcterms:modified xsi:type="dcterms:W3CDTF">2020-08-11T03:06:00Z</dcterms:modified>
</cp:coreProperties>
</file>